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EF736" w14:textId="77777777" w:rsidR="00906A68" w:rsidRDefault="00000000">
      <w:pPr>
        <w:tabs>
          <w:tab w:val="left" w:pos="284"/>
        </w:tabs>
        <w:rPr>
          <w:szCs w:val="20"/>
        </w:rPr>
      </w:pPr>
      <w:r>
        <w:rPr>
          <w:b/>
          <w:bCs/>
          <w:sz w:val="28"/>
          <w:szCs w:val="28"/>
        </w:rPr>
        <w:t>Onderwijs kan beter door wetenschap serieus te nemen</w:t>
      </w:r>
    </w:p>
    <w:p w14:paraId="06AE96E1" w14:textId="77777777" w:rsidR="00906A68" w:rsidRDefault="00906A68">
      <w:pPr>
        <w:tabs>
          <w:tab w:val="left" w:pos="284"/>
        </w:tabs>
      </w:pPr>
    </w:p>
    <w:p w14:paraId="72DEFB6B" w14:textId="26389D3C" w:rsidR="00906A68" w:rsidRPr="007868C3" w:rsidRDefault="00000000">
      <w:pPr>
        <w:tabs>
          <w:tab w:val="left" w:pos="284"/>
        </w:tabs>
        <w:rPr>
          <w:sz w:val="24"/>
          <w:szCs w:val="24"/>
        </w:rPr>
      </w:pPr>
      <w:r>
        <w:rPr>
          <w:sz w:val="24"/>
          <w:szCs w:val="24"/>
        </w:rPr>
        <w:t xml:space="preserve">Om de onderwijscrisis op te lossen zet de regering in op </w:t>
      </w:r>
      <w:r w:rsidRPr="007868C3">
        <w:rPr>
          <w:sz w:val="24"/>
          <w:szCs w:val="24"/>
        </w:rPr>
        <w:t xml:space="preserve">statistische evidentie. Een dwaalweg volgens de </w:t>
      </w:r>
      <w:r w:rsidRPr="00F43C16">
        <w:rPr>
          <w:i/>
          <w:iCs/>
          <w:sz w:val="24"/>
          <w:szCs w:val="24"/>
        </w:rPr>
        <w:t>Werk- en Steungroep Kleuteronderwijs</w:t>
      </w:r>
      <w:r w:rsidRPr="007868C3">
        <w:rPr>
          <w:sz w:val="24"/>
          <w:szCs w:val="24"/>
        </w:rPr>
        <w:t xml:space="preserve"> (WSK; meer dan 5.500 leden). De weg uit de crisis</w:t>
      </w:r>
      <w:r w:rsidR="00F43C16">
        <w:rPr>
          <w:sz w:val="24"/>
          <w:szCs w:val="24"/>
        </w:rPr>
        <w:t>? R</w:t>
      </w:r>
      <w:r w:rsidR="007868C3" w:rsidRPr="007868C3">
        <w:rPr>
          <w:sz w:val="24"/>
          <w:szCs w:val="24"/>
        </w:rPr>
        <w:t>especteer</w:t>
      </w:r>
      <w:r w:rsidRPr="007868C3">
        <w:rPr>
          <w:sz w:val="24"/>
          <w:szCs w:val="24"/>
        </w:rPr>
        <w:t xml:space="preserve"> de ontwikkelingslijn </w:t>
      </w:r>
      <w:r w:rsidR="007868C3" w:rsidRPr="007868C3">
        <w:rPr>
          <w:sz w:val="24"/>
          <w:szCs w:val="24"/>
        </w:rPr>
        <w:t>‘</w:t>
      </w:r>
      <w:r w:rsidRPr="007868C3">
        <w:rPr>
          <w:sz w:val="24"/>
          <w:szCs w:val="24"/>
        </w:rPr>
        <w:t>oudere peuter → kleuter → jong schoolkind</w:t>
      </w:r>
      <w:r w:rsidR="007868C3" w:rsidRPr="007868C3">
        <w:rPr>
          <w:sz w:val="24"/>
          <w:szCs w:val="24"/>
        </w:rPr>
        <w:t>’</w:t>
      </w:r>
      <w:r w:rsidR="00767DE3">
        <w:rPr>
          <w:sz w:val="24"/>
          <w:szCs w:val="24"/>
        </w:rPr>
        <w:t xml:space="preserve"> volledig</w:t>
      </w:r>
      <w:r w:rsidRPr="007868C3">
        <w:rPr>
          <w:sz w:val="24"/>
          <w:szCs w:val="24"/>
        </w:rPr>
        <w:t>.</w:t>
      </w:r>
    </w:p>
    <w:p w14:paraId="6F603539" w14:textId="77777777" w:rsidR="00906A68" w:rsidRPr="007868C3" w:rsidRDefault="00906A68">
      <w:pPr>
        <w:tabs>
          <w:tab w:val="left" w:pos="284"/>
        </w:tabs>
      </w:pPr>
    </w:p>
    <w:p w14:paraId="58E6C790" w14:textId="5E88CF96" w:rsidR="00906A68" w:rsidRDefault="00000000">
      <w:pPr>
        <w:tabs>
          <w:tab w:val="left" w:pos="284"/>
        </w:tabs>
      </w:pPr>
      <w:r w:rsidRPr="007868C3">
        <w:t>Stel je voor dat we kleurentelevisies maken zonder rekening te houden met de</w:t>
      </w:r>
      <w:r>
        <w:t xml:space="preserve"> wetenschappelijke kennis over kleurmen</w:t>
      </w:r>
      <w:r w:rsidR="00767DE3">
        <w:t>g</w:t>
      </w:r>
      <w:r>
        <w:t>ingen, de kleurendriehoek. In plaats daarvan gebruiken we een 7-puntsschaal volgens de regenboog: 1 voor violet, …, 7 voor rood – of omgekeerd. Resultat</w:t>
      </w:r>
      <w:r w:rsidR="00F43C16">
        <w:t>en</w:t>
      </w:r>
      <w:r>
        <w:t xml:space="preserve"> zouden ronduit slecht zijn en de kleurentelevisie-industrie zou spoedig in een crisis verkeren.</w:t>
      </w:r>
    </w:p>
    <w:p w14:paraId="2882C2E5" w14:textId="77777777" w:rsidR="00906A68" w:rsidRDefault="00906A68">
      <w:pPr>
        <w:tabs>
          <w:tab w:val="left" w:pos="284"/>
        </w:tabs>
      </w:pPr>
    </w:p>
    <w:p w14:paraId="3B7B8E07" w14:textId="77777777" w:rsidR="00906A68" w:rsidRDefault="00000000">
      <w:pPr>
        <w:tabs>
          <w:tab w:val="left" w:pos="284"/>
        </w:tabs>
      </w:pPr>
      <w:r>
        <w:t xml:space="preserve">            </w:t>
      </w:r>
      <w:r>
        <w:rPr>
          <w:noProof/>
        </w:rPr>
        <w:drawing>
          <wp:inline distT="0" distB="0" distL="0" distR="0" wp14:anchorId="193F858C" wp14:editId="34F31417">
            <wp:extent cx="2475865" cy="190500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pic:cNvPicPr>
                      <a:picLocks noChangeAspect="1" noChangeArrowheads="1"/>
                    </pic:cNvPicPr>
                  </pic:nvPicPr>
                  <pic:blipFill>
                    <a:blip r:embed="rId4"/>
                    <a:stretch>
                      <a:fillRect/>
                    </a:stretch>
                  </pic:blipFill>
                  <pic:spPr bwMode="auto">
                    <a:xfrm>
                      <a:off x="0" y="0"/>
                      <a:ext cx="2475865" cy="1905000"/>
                    </a:xfrm>
                    <a:prstGeom prst="rect">
                      <a:avLst/>
                    </a:prstGeom>
                    <a:noFill/>
                  </pic:spPr>
                </pic:pic>
              </a:graphicData>
            </a:graphic>
          </wp:inline>
        </w:drawing>
      </w:r>
      <w:r>
        <w:t xml:space="preserve">                     </w:t>
      </w:r>
      <w:r>
        <w:rPr>
          <w:noProof/>
        </w:rPr>
        <w:drawing>
          <wp:inline distT="0" distB="0" distL="0" distR="0" wp14:anchorId="6C569417" wp14:editId="507C191C">
            <wp:extent cx="2123440" cy="1905000"/>
            <wp:effectExtent l="0" t="0" r="0" b="0"/>
            <wp:docPr id="2"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pic:cNvPicPr>
                      <a:picLocks noChangeAspect="1" noChangeArrowheads="1"/>
                    </pic:cNvPicPr>
                  </pic:nvPicPr>
                  <pic:blipFill>
                    <a:blip r:embed="rId5"/>
                    <a:stretch>
                      <a:fillRect/>
                    </a:stretch>
                  </pic:blipFill>
                  <pic:spPr bwMode="auto">
                    <a:xfrm>
                      <a:off x="0" y="0"/>
                      <a:ext cx="2123440" cy="1905000"/>
                    </a:xfrm>
                    <a:prstGeom prst="rect">
                      <a:avLst/>
                    </a:prstGeom>
                    <a:noFill/>
                  </pic:spPr>
                </pic:pic>
              </a:graphicData>
            </a:graphic>
          </wp:inline>
        </w:drawing>
      </w:r>
    </w:p>
    <w:p w14:paraId="0E047D49" w14:textId="77777777" w:rsidR="00906A68" w:rsidRDefault="00000000">
      <w:pPr>
        <w:tabs>
          <w:tab w:val="left" w:pos="284"/>
        </w:tabs>
      </w:pPr>
      <w:r>
        <w:t xml:space="preserve">            Kleurendriehoek (Maxwell, 1860).                                           Grondkleuren van de regenboog.</w:t>
      </w:r>
    </w:p>
    <w:p w14:paraId="5D470BB8" w14:textId="77777777" w:rsidR="00906A68" w:rsidRDefault="00906A68">
      <w:pPr>
        <w:tabs>
          <w:tab w:val="left" w:pos="284"/>
        </w:tabs>
      </w:pPr>
    </w:p>
    <w:p w14:paraId="61C9FBF2" w14:textId="091C69E3" w:rsidR="00906A68" w:rsidRDefault="00000000">
      <w:pPr>
        <w:tabs>
          <w:tab w:val="left" w:pos="284"/>
        </w:tabs>
      </w:pPr>
      <w:r>
        <w:tab/>
        <w:t xml:space="preserve">Toch </w:t>
      </w:r>
      <w:r w:rsidR="00767DE3">
        <w:t>gebeurt</w:t>
      </w:r>
      <w:r>
        <w:t xml:space="preserve"> dit in </w:t>
      </w:r>
      <w:r w:rsidR="00767DE3">
        <w:t>ons onde</w:t>
      </w:r>
      <w:r>
        <w:t>rwijs: wetenschappelijke inzichten worden genegeerd</w:t>
      </w:r>
      <w:r w:rsidR="00767DE3">
        <w:t xml:space="preserve"> en schijnfeiten </w:t>
      </w:r>
      <w:r w:rsidR="0083575A">
        <w:t>worden voor</w:t>
      </w:r>
      <w:r w:rsidR="00767DE3">
        <w:t xml:space="preserve"> feiten</w:t>
      </w:r>
      <w:r w:rsidR="0083575A">
        <w:t xml:space="preserve"> gehouden</w:t>
      </w:r>
      <w:r>
        <w:t>.</w:t>
      </w:r>
      <w:r w:rsidR="0083575A">
        <w:t xml:space="preserve"> </w:t>
      </w:r>
      <w:r>
        <w:t>De huidige onderwijscrisis wortel</w:t>
      </w:r>
      <w:r w:rsidR="0083575A">
        <w:t>t</w:t>
      </w:r>
      <w:r>
        <w:t xml:space="preserve"> in het negeren van de </w:t>
      </w:r>
      <w:r w:rsidRPr="007868C3">
        <w:t xml:space="preserve">psychologische ontwikkeling van het kind. In plaats daarvan </w:t>
      </w:r>
      <w:r w:rsidR="0083575A">
        <w:t>worden</w:t>
      </w:r>
      <w:r w:rsidRPr="007868C3">
        <w:t xml:space="preserve"> puntschalen en </w:t>
      </w:r>
      <w:r w:rsidR="007868C3" w:rsidRPr="007868C3">
        <w:t>andere p</w:t>
      </w:r>
      <w:r w:rsidRPr="007868C3">
        <w:t>sychometri</w:t>
      </w:r>
      <w:r w:rsidR="007868C3" w:rsidRPr="007868C3">
        <w:t>sch</w:t>
      </w:r>
      <w:r w:rsidRPr="007868C3">
        <w:t>e</w:t>
      </w:r>
      <w:r w:rsidR="007868C3" w:rsidRPr="007868C3">
        <w:t xml:space="preserve"> </w:t>
      </w:r>
      <w:r w:rsidR="00B85FF0">
        <w:t>tests</w:t>
      </w:r>
      <w:r w:rsidR="0083575A">
        <w:t xml:space="preserve"> gebruikt</w:t>
      </w:r>
      <w:r w:rsidRPr="007868C3">
        <w:t xml:space="preserve">. </w:t>
      </w:r>
      <w:r w:rsidR="007868C3" w:rsidRPr="007868C3">
        <w:t>Hun resultaten</w:t>
      </w:r>
      <w:r w:rsidRPr="007868C3">
        <w:t xml:space="preserve"> lijken misschien handig en ‘hard’, maar </w:t>
      </w:r>
      <w:r w:rsidR="007868C3">
        <w:t xml:space="preserve">zeggen </w:t>
      </w:r>
      <w:r w:rsidRPr="007868C3">
        <w:t>niets over de</w:t>
      </w:r>
      <w:r>
        <w:t xml:space="preserve"> daadwerkelijke </w:t>
      </w:r>
      <w:r w:rsidR="007868C3">
        <w:t>lee</w:t>
      </w:r>
      <w:r>
        <w:t xml:space="preserve">rontwikkeling van kinderen. Dit leidt tot een structurele crisis, terwijl ons </w:t>
      </w:r>
      <w:r w:rsidR="00767DE3">
        <w:t xml:space="preserve">rijke </w:t>
      </w:r>
      <w:r>
        <w:t xml:space="preserve">land beter </w:t>
      </w:r>
      <w:r w:rsidR="00767DE3">
        <w:t>zou</w:t>
      </w:r>
      <w:r>
        <w:t xml:space="preserve"> kunnen.</w:t>
      </w:r>
    </w:p>
    <w:p w14:paraId="1CD36123" w14:textId="77777777" w:rsidR="00906A68" w:rsidRDefault="00906A68">
      <w:pPr>
        <w:tabs>
          <w:tab w:val="left" w:pos="284"/>
        </w:tabs>
      </w:pPr>
    </w:p>
    <w:p w14:paraId="7442369B" w14:textId="77777777" w:rsidR="00906A68" w:rsidRDefault="00000000">
      <w:pPr>
        <w:tabs>
          <w:tab w:val="left" w:pos="284"/>
        </w:tabs>
        <w:rPr>
          <w:b/>
          <w:bCs/>
        </w:rPr>
      </w:pPr>
      <w:r>
        <w:rPr>
          <w:b/>
          <w:bCs/>
        </w:rPr>
        <w:t>Ontwikkeling</w:t>
      </w:r>
    </w:p>
    <w:p w14:paraId="2B35CFAC" w14:textId="79D0BC0E" w:rsidR="00906A68" w:rsidRDefault="00000000">
      <w:pPr>
        <w:tabs>
          <w:tab w:val="left" w:pos="284"/>
        </w:tabs>
      </w:pPr>
      <w:r>
        <w:t xml:space="preserve">De psychologische ontwikkeling is een feit. Als men kinderen tussen ongeveer 3 jaar en 8,5 jaar vraagt </w:t>
      </w:r>
      <w:r w:rsidR="0083575A">
        <w:t>hu</w:t>
      </w:r>
      <w:r>
        <w:t>n naam te schrijven, krijgt men vier schrijfwijzen te zien:</w:t>
      </w:r>
    </w:p>
    <w:p w14:paraId="4A6CBA99" w14:textId="77777777" w:rsidR="00906A68" w:rsidRDefault="00000000">
      <w:pPr>
        <w:tabs>
          <w:tab w:val="left" w:pos="284"/>
        </w:tabs>
      </w:pPr>
      <w:r>
        <w:rPr>
          <w14:ligatures w14:val="standardContextual"/>
        </w:rPr>
        <w:tab/>
        <w:t xml:space="preserve">a. </w:t>
      </w:r>
      <w:r>
        <w:rPr>
          <w:noProof/>
        </w:rPr>
        <w:drawing>
          <wp:inline distT="0" distB="0" distL="0" distR="0" wp14:anchorId="43DC3099" wp14:editId="714126DC">
            <wp:extent cx="1009650" cy="142875"/>
            <wp:effectExtent l="0" t="0" r="0" b="0"/>
            <wp:docPr id="3" name="Imag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pic:cNvPicPr>
                      <a:picLocks noChangeAspect="1" noChangeArrowheads="1"/>
                    </pic:cNvPicPr>
                  </pic:nvPicPr>
                  <pic:blipFill>
                    <a:blip r:embed="rId6"/>
                    <a:stretch>
                      <a:fillRect/>
                    </a:stretch>
                  </pic:blipFill>
                  <pic:spPr bwMode="auto">
                    <a:xfrm>
                      <a:off x="0" y="0"/>
                      <a:ext cx="1009650" cy="142875"/>
                    </a:xfrm>
                    <a:prstGeom prst="rect">
                      <a:avLst/>
                    </a:prstGeom>
                    <a:noFill/>
                  </pic:spPr>
                </pic:pic>
              </a:graphicData>
            </a:graphic>
          </wp:inline>
        </w:drawing>
      </w:r>
      <w:r>
        <w:rPr>
          <w14:ligatures w14:val="standardContextual"/>
        </w:rPr>
        <w:t xml:space="preserve">      b. </w:t>
      </w:r>
      <w:r>
        <w:rPr>
          <w:noProof/>
        </w:rPr>
        <w:drawing>
          <wp:inline distT="0" distB="0" distL="0" distR="0" wp14:anchorId="6B7CB87C" wp14:editId="2ABE62E9">
            <wp:extent cx="304800" cy="190500"/>
            <wp:effectExtent l="0" t="0" r="0" b="0"/>
            <wp:docPr id="4" name="Imag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pic:cNvPicPr>
                      <a:picLocks noChangeAspect="1" noChangeArrowheads="1"/>
                    </pic:cNvPicPr>
                  </pic:nvPicPr>
                  <pic:blipFill>
                    <a:blip r:embed="rId7"/>
                    <a:stretch>
                      <a:fillRect/>
                    </a:stretch>
                  </pic:blipFill>
                  <pic:spPr bwMode="auto">
                    <a:xfrm>
                      <a:off x="0" y="0"/>
                      <a:ext cx="304800" cy="190500"/>
                    </a:xfrm>
                    <a:prstGeom prst="rect">
                      <a:avLst/>
                    </a:prstGeom>
                    <a:noFill/>
                  </pic:spPr>
                </pic:pic>
              </a:graphicData>
            </a:graphic>
          </wp:inline>
        </w:drawing>
      </w:r>
      <w:r>
        <w:rPr>
          <w14:ligatures w14:val="standardContextual"/>
        </w:rPr>
        <w:t xml:space="preserve">      c. </w:t>
      </w:r>
      <w:r>
        <w:rPr>
          <w:noProof/>
        </w:rPr>
        <w:drawing>
          <wp:inline distT="0" distB="0" distL="0" distR="0" wp14:anchorId="64E553D8" wp14:editId="4CCE5F15">
            <wp:extent cx="247650" cy="190500"/>
            <wp:effectExtent l="0" t="0" r="0" b="0"/>
            <wp:docPr id="5" name="Image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pic:cNvPicPr>
                      <a:picLocks noChangeAspect="1" noChangeArrowheads="1"/>
                    </pic:cNvPicPr>
                  </pic:nvPicPr>
                  <pic:blipFill>
                    <a:blip r:embed="rId8"/>
                    <a:stretch>
                      <a:fillRect/>
                    </a:stretch>
                  </pic:blipFill>
                  <pic:spPr bwMode="auto">
                    <a:xfrm>
                      <a:off x="0" y="0"/>
                      <a:ext cx="247650" cy="190500"/>
                    </a:xfrm>
                    <a:prstGeom prst="rect">
                      <a:avLst/>
                    </a:prstGeom>
                    <a:noFill/>
                  </pic:spPr>
                </pic:pic>
              </a:graphicData>
            </a:graphic>
          </wp:inline>
        </w:drawing>
      </w:r>
      <w:r>
        <w:rPr>
          <w14:ligatures w14:val="standardContextual"/>
        </w:rPr>
        <w:t xml:space="preserve">      d. </w:t>
      </w:r>
      <w:r>
        <w:rPr>
          <w:noProof/>
        </w:rPr>
        <w:drawing>
          <wp:inline distT="0" distB="0" distL="0" distR="0" wp14:anchorId="24228BC3" wp14:editId="5C58773A">
            <wp:extent cx="866775" cy="190500"/>
            <wp:effectExtent l="0" t="0" r="0" b="0"/>
            <wp:docPr id="6" name="Image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pic:cNvPicPr>
                      <a:picLocks noChangeAspect="1" noChangeArrowheads="1"/>
                    </pic:cNvPicPr>
                  </pic:nvPicPr>
                  <pic:blipFill>
                    <a:blip r:embed="rId9"/>
                    <a:stretch>
                      <a:fillRect/>
                    </a:stretch>
                  </pic:blipFill>
                  <pic:spPr bwMode="auto">
                    <a:xfrm>
                      <a:off x="0" y="0"/>
                      <a:ext cx="866775" cy="190500"/>
                    </a:xfrm>
                    <a:prstGeom prst="rect">
                      <a:avLst/>
                    </a:prstGeom>
                    <a:noFill/>
                  </pic:spPr>
                </pic:pic>
              </a:graphicData>
            </a:graphic>
          </wp:inline>
        </w:drawing>
      </w:r>
    </w:p>
    <w:p w14:paraId="483F5380" w14:textId="77777777" w:rsidR="00906A68" w:rsidRDefault="00000000">
      <w:pPr>
        <w:tabs>
          <w:tab w:val="left" w:pos="284"/>
        </w:tabs>
      </w:pPr>
      <w:r>
        <w:tab/>
        <w:t xml:space="preserve">a. Als jonge peuter (gemiddeld 3 jaar – 3 jaar en 9 maanden) schrijft Anke vrijvormig. Er keren geen vormen terug. </w:t>
      </w:r>
    </w:p>
    <w:p w14:paraId="40734020" w14:textId="77777777" w:rsidR="00906A68" w:rsidRDefault="00000000">
      <w:pPr>
        <w:tabs>
          <w:tab w:val="left" w:pos="284"/>
        </w:tabs>
      </w:pPr>
      <w:r>
        <w:tab/>
        <w:t xml:space="preserve">b. Als oudere peuter (gemiddeld 3 jaar en 9 maanden – 4,5 jaar) schrijft ze eigenfiguurlijk. Terugkerende vormen staan niet voor vaste klanken; Mireille (zus) wordt </w:t>
      </w:r>
      <w:r>
        <w:rPr>
          <w:sz w:val="28"/>
          <w:szCs w:val="28"/>
        </w:rPr>
        <w:t>O</w:t>
      </w:r>
      <w:r>
        <w:rPr>
          <w:rFonts w:cs="Times New Roman"/>
          <w:sz w:val="28"/>
          <w:szCs w:val="28"/>
          <w:rtl/>
          <w:lang w:bidi="he-IL"/>
        </w:rPr>
        <w:t>׀</w:t>
      </w:r>
      <w:r>
        <w:rPr>
          <w:rFonts w:cs="Times New Roman"/>
        </w:rPr>
        <w:t>├</w:t>
      </w:r>
      <w:r>
        <w:t>.</w:t>
      </w:r>
    </w:p>
    <w:p w14:paraId="206FD150" w14:textId="77777777" w:rsidR="00906A68" w:rsidRDefault="00000000">
      <w:pPr>
        <w:tabs>
          <w:tab w:val="left" w:pos="284"/>
        </w:tabs>
      </w:pPr>
      <w:r>
        <w:tab/>
        <w:t>c. Als kleuter (gemiddeld 4,5 – 6,5 jaar) schrijft ze spiegelbeeldig. De vormen staan voor vaste klanken, maar ze spiegelt (of verwisselt, bijvoorbeeld ‘oma’ als MOA).</w:t>
      </w:r>
    </w:p>
    <w:p w14:paraId="7CBD9AB0" w14:textId="77777777" w:rsidR="00906A68" w:rsidRDefault="00000000">
      <w:pPr>
        <w:tabs>
          <w:tab w:val="left" w:pos="284"/>
        </w:tabs>
      </w:pPr>
      <w:r>
        <w:tab/>
        <w:t xml:space="preserve">d. Als jong schoolkind (gemiddeld 6,5 – 8,5 jaar) schrijft ze conventioneel: zonder spiegelingen en verwisselingen. </w:t>
      </w:r>
    </w:p>
    <w:p w14:paraId="10E44DB9" w14:textId="77777777" w:rsidR="00906A68" w:rsidRDefault="00000000">
      <w:pPr>
        <w:tabs>
          <w:tab w:val="left" w:pos="284"/>
        </w:tabs>
      </w:pPr>
      <w:r>
        <w:tab/>
      </w:r>
    </w:p>
    <w:p w14:paraId="3C5F3797" w14:textId="77777777" w:rsidR="00906A68" w:rsidRPr="007868C3" w:rsidRDefault="00000000">
      <w:pPr>
        <w:tabs>
          <w:tab w:val="left" w:pos="284"/>
        </w:tabs>
        <w:rPr>
          <w:b/>
          <w:bCs/>
        </w:rPr>
      </w:pPr>
      <w:r w:rsidRPr="007868C3">
        <w:rPr>
          <w:b/>
          <w:bCs/>
        </w:rPr>
        <w:t>Huidig onderwijs</w:t>
      </w:r>
    </w:p>
    <w:p w14:paraId="2BE47A57" w14:textId="01206BD8" w:rsidR="00906A68" w:rsidRPr="007868C3" w:rsidRDefault="00000000">
      <w:pPr>
        <w:tabs>
          <w:tab w:val="left" w:pos="284"/>
        </w:tabs>
      </w:pPr>
      <w:r w:rsidRPr="007868C3">
        <w:t xml:space="preserve">Dit ontwikkelingsproces is een feit, maar het onderwijsbeleid ontkent of negeert </w:t>
      </w:r>
      <w:r w:rsidR="0083575A">
        <w:t>het</w:t>
      </w:r>
      <w:r w:rsidRPr="007868C3">
        <w:t xml:space="preserve">. </w:t>
      </w:r>
      <w:r w:rsidR="00767DE3">
        <w:t>Slechts</w:t>
      </w:r>
      <w:r w:rsidRPr="007868C3">
        <w:t xml:space="preserve"> schrijfles aan jonge schoolkinderen </w:t>
      </w:r>
      <w:r w:rsidR="00767DE3">
        <w:t xml:space="preserve">(d) </w:t>
      </w:r>
      <w:r w:rsidRPr="007868C3">
        <w:t xml:space="preserve">leidt tot leesbare handschriften. Maar omdat die ontwikkeling niet zou bestaan of gepasseerd zou kunnen worden, wordt er te vroeg gestart en </w:t>
      </w:r>
      <w:r w:rsidR="0083575A">
        <w:t>wordt</w:t>
      </w:r>
      <w:r w:rsidRPr="007868C3">
        <w:t xml:space="preserve"> er </w:t>
      </w:r>
      <w:r w:rsidR="007868C3" w:rsidRPr="007868C3">
        <w:t xml:space="preserve">ook in groep 8 </w:t>
      </w:r>
      <w:r w:rsidR="00767DE3">
        <w:t xml:space="preserve">met </w:t>
      </w:r>
      <w:r w:rsidRPr="007868C3">
        <w:t>veel hanepote</w:t>
      </w:r>
      <w:r w:rsidR="00767DE3">
        <w:t>n geschreven</w:t>
      </w:r>
      <w:r w:rsidRPr="007868C3">
        <w:t>.</w:t>
      </w:r>
    </w:p>
    <w:p w14:paraId="77363751" w14:textId="4A5CDD08" w:rsidR="00906A68" w:rsidRPr="007868C3" w:rsidRDefault="00000000">
      <w:pPr>
        <w:tabs>
          <w:tab w:val="left" w:pos="284"/>
        </w:tabs>
      </w:pPr>
      <w:r w:rsidRPr="007868C3">
        <w:tab/>
        <w:t xml:space="preserve">Ook met lezen en rekenen </w:t>
      </w:r>
      <w:r w:rsidR="0083575A">
        <w:t xml:space="preserve">beginnen alle leerlingen </w:t>
      </w:r>
      <w:r w:rsidRPr="007868C3">
        <w:t>in groep 3 rond 1 september. Gevolg: te veel leerlingen maken een slechte start omdat ze er dan psychologisch niet aan toe zijn</w:t>
      </w:r>
      <w:r w:rsidR="007868C3" w:rsidRPr="007868C3">
        <w:t xml:space="preserve">. </w:t>
      </w:r>
      <w:r w:rsidR="00767DE3">
        <w:t>T</w:t>
      </w:r>
      <w:r w:rsidR="007868C3" w:rsidRPr="007868C3">
        <w:t>e vroeg beginnen stapel</w:t>
      </w:r>
      <w:r w:rsidR="00767DE3">
        <w:t xml:space="preserve">t zich op zodat </w:t>
      </w:r>
      <w:r w:rsidRPr="007868C3">
        <w:t xml:space="preserve">lezen en rekenen aan het slot van groep 8 </w:t>
      </w:r>
      <w:r w:rsidR="00767DE3">
        <w:t>ondermaats zijn</w:t>
      </w:r>
      <w:r w:rsidRPr="007868C3">
        <w:t>.</w:t>
      </w:r>
    </w:p>
    <w:p w14:paraId="75F504DA" w14:textId="5A00FE20" w:rsidR="00906A68" w:rsidRDefault="00000000">
      <w:pPr>
        <w:tabs>
          <w:tab w:val="left" w:pos="284"/>
        </w:tabs>
      </w:pPr>
      <w:r w:rsidRPr="007868C3">
        <w:tab/>
        <w:t>Het onderwijsbeleid leunt steeds</w:t>
      </w:r>
      <w:r>
        <w:t xml:space="preserve"> zwaarder op Directe Instructie (DI). DI ontkent de psychologische ontwikkeling (‘DI schuwt ontwikkelingsvooruitgang en -theorie’; geestelijke vader van DI, 1996) en is op statistische evidentie gebaseerd, zoals op de </w:t>
      </w:r>
      <w:r>
        <w:rPr>
          <w:i/>
          <w:iCs/>
        </w:rPr>
        <w:t>Metropolitan Achievement Test</w:t>
      </w:r>
      <w:r>
        <w:t xml:space="preserve"> en de </w:t>
      </w:r>
      <w:r>
        <w:rPr>
          <w:i/>
          <w:iCs/>
        </w:rPr>
        <w:t>Wide Range Achievement Test</w:t>
      </w:r>
      <w:r>
        <w:t xml:space="preserve">. </w:t>
      </w:r>
    </w:p>
    <w:p w14:paraId="53C804B9" w14:textId="71CD928D" w:rsidR="00906A68" w:rsidRDefault="00000000">
      <w:pPr>
        <w:tabs>
          <w:tab w:val="left" w:pos="284"/>
        </w:tabs>
      </w:pPr>
      <w:r>
        <w:tab/>
      </w:r>
      <w:r w:rsidR="00767DE3">
        <w:t>I</w:t>
      </w:r>
      <w:r>
        <w:t xml:space="preserve">ndirect erkennen DI-mensen </w:t>
      </w:r>
      <w:r w:rsidR="00767DE3">
        <w:t>het falen van</w:t>
      </w:r>
      <w:r>
        <w:t xml:space="preserve"> DI. Ze zien herhalen als een hoofdkenmerk van DI – stof vaak herhalen zou</w:t>
      </w:r>
      <w:r w:rsidR="00767DE3">
        <w:t xml:space="preserve"> </w:t>
      </w:r>
      <w:r>
        <w:t xml:space="preserve">goed onderwijs </w:t>
      </w:r>
      <w:r w:rsidR="00767DE3">
        <w:t>z</w:t>
      </w:r>
      <w:r>
        <w:t>i</w:t>
      </w:r>
      <w:r w:rsidR="00767DE3">
        <w:t>j</w:t>
      </w:r>
      <w:r>
        <w:t xml:space="preserve">n. In werkelijkheid wijst veel herhalen echter op slecht onderwijs – als een kind niet aan de leerstof toe is, zit er helaas niets anders op dan vaak herhalen, terwijl de leerkracht al bij voorbaat weet dat </w:t>
      </w:r>
      <w:r w:rsidR="00767DE3">
        <w:t>de stof niet beklijf</w:t>
      </w:r>
      <w:r>
        <w:t xml:space="preserve">t. </w:t>
      </w:r>
    </w:p>
    <w:p w14:paraId="3B6A0BD8" w14:textId="77777777" w:rsidR="00906A68" w:rsidRDefault="00906A68">
      <w:pPr>
        <w:tabs>
          <w:tab w:val="left" w:pos="284"/>
        </w:tabs>
      </w:pPr>
    </w:p>
    <w:p w14:paraId="6E5520C0" w14:textId="77777777" w:rsidR="00906A68" w:rsidRDefault="00000000">
      <w:pPr>
        <w:tabs>
          <w:tab w:val="left" w:pos="284"/>
        </w:tabs>
        <w:rPr>
          <w:b/>
          <w:bCs/>
        </w:rPr>
      </w:pPr>
      <w:r>
        <w:rPr>
          <w:b/>
          <w:bCs/>
        </w:rPr>
        <w:t>Hard bewijs?</w:t>
      </w:r>
    </w:p>
    <w:p w14:paraId="52D66A4C" w14:textId="4A215882" w:rsidR="00906A68" w:rsidRDefault="00767DE3">
      <w:pPr>
        <w:tabs>
          <w:tab w:val="left" w:pos="284"/>
        </w:tabs>
      </w:pPr>
      <w:r>
        <w:t xml:space="preserve">Zijn significante testscores dan geen harde ‘evidentie’? Nee, precies zoals de </w:t>
      </w:r>
      <w:r w:rsidR="0083575A">
        <w:t>kleuren</w:t>
      </w:r>
      <w:r>
        <w:t xml:space="preserve">puntsschaal rekenkundig harde maar natuurkundig zachte feiten oplevert, zo leveren psychometrische </w:t>
      </w:r>
      <w:r w:rsidR="00B85FF0">
        <w:t xml:space="preserve">tests </w:t>
      </w:r>
      <w:r w:rsidR="0083575A">
        <w:t xml:space="preserve">wel </w:t>
      </w:r>
      <w:r>
        <w:t xml:space="preserve">rekenkundige </w:t>
      </w:r>
      <w:r w:rsidR="0083575A">
        <w:t xml:space="preserve">feiten op </w:t>
      </w:r>
      <w:r>
        <w:t>maar geen psychologische en/of onderwijskundige.</w:t>
      </w:r>
    </w:p>
    <w:p w14:paraId="06B8CBE4" w14:textId="21702E5B" w:rsidR="00906A68" w:rsidRPr="007868C3" w:rsidRDefault="00000000">
      <w:pPr>
        <w:tabs>
          <w:tab w:val="left" w:pos="284"/>
        </w:tabs>
      </w:pPr>
      <w:r>
        <w:tab/>
        <w:t xml:space="preserve">Nemen we de Monitor </w:t>
      </w:r>
      <w:r w:rsidRPr="007868C3">
        <w:t xml:space="preserve">Leskwaliteit waarmee leerkrachten worden getoetst. </w:t>
      </w:r>
      <w:r w:rsidR="0083575A">
        <w:t xml:space="preserve">Zijn </w:t>
      </w:r>
      <w:r w:rsidRPr="007868C3">
        <w:t xml:space="preserve">didactische principes zijn </w:t>
      </w:r>
      <w:r w:rsidR="0083575A">
        <w:t xml:space="preserve">aan DI </w:t>
      </w:r>
      <w:r w:rsidRPr="007868C3">
        <w:t>ontleend en</w:t>
      </w:r>
      <w:r>
        <w:t xml:space="preserve"> elke vraag wordt op een 4-puntsschaal gescoord: 0 voor ‘helemaal mee oneens’, 1 voor ‘mee oneens’, 2 voor </w:t>
      </w:r>
      <w:r>
        <w:lastRenderedPageBreak/>
        <w:t>‘mee eens’ en 3 voor ‘helemaal mee eens’ (</w:t>
      </w:r>
      <w:r w:rsidR="00FD62A1">
        <w:t xml:space="preserve">Onderwijsinspectie, </w:t>
      </w:r>
      <w:hyperlink r:id="rId10">
        <w:r w:rsidR="00906A68">
          <w:rPr>
            <w:rStyle w:val="Hyperlink"/>
          </w:rPr>
          <w:t>‘Monitor leskwaliteit po – technisch rapport’</w:t>
        </w:r>
      </w:hyperlink>
      <w:r>
        <w:t>, p.10 en p.8-9</w:t>
      </w:r>
      <w:r w:rsidR="00FD7B94">
        <w:t>)</w:t>
      </w:r>
      <w:r>
        <w:t xml:space="preserve">. Twee redenen dus voor grote twijfel: </w:t>
      </w:r>
      <w:r w:rsidR="00FD62A1">
        <w:t xml:space="preserve">DI (zie boven) en </w:t>
      </w:r>
      <w:r>
        <w:t xml:space="preserve">tussen verschijnselen </w:t>
      </w:r>
      <w:r w:rsidR="007868C3">
        <w:t xml:space="preserve">betreffende lesgeven </w:t>
      </w:r>
      <w:r w:rsidR="00FD62A1">
        <w:t>bestaa</w:t>
      </w:r>
      <w:r>
        <w:t xml:space="preserve">n geen getalsmatige verhoudingen die die puntentoekenning </w:t>
      </w:r>
      <w:r w:rsidRPr="007868C3">
        <w:t>rechtvaardigen.</w:t>
      </w:r>
    </w:p>
    <w:p w14:paraId="7A729AFA" w14:textId="77777777" w:rsidR="00906A68" w:rsidRPr="007868C3" w:rsidRDefault="00906A68">
      <w:pPr>
        <w:tabs>
          <w:tab w:val="left" w:pos="284"/>
        </w:tabs>
      </w:pPr>
    </w:p>
    <w:p w14:paraId="19B06F05" w14:textId="32936656" w:rsidR="00906A68" w:rsidRPr="007868C3" w:rsidRDefault="007868C3">
      <w:pPr>
        <w:tabs>
          <w:tab w:val="left" w:pos="284"/>
        </w:tabs>
      </w:pPr>
      <w:r w:rsidRPr="007868C3">
        <w:rPr>
          <w:b/>
          <w:bCs/>
        </w:rPr>
        <w:t>Andere aanpak</w:t>
      </w:r>
    </w:p>
    <w:p w14:paraId="209FD295" w14:textId="52A91965" w:rsidR="00906A68" w:rsidRDefault="00000000">
      <w:pPr>
        <w:tabs>
          <w:tab w:val="left" w:pos="284"/>
        </w:tabs>
      </w:pPr>
      <w:r w:rsidRPr="007868C3">
        <w:t xml:space="preserve">Op 22 januari noemde minister Bruins in een overleg met de Tweede Kamer over de onderwijscrisis DI een ‘bewezen effectieve didactiek’ en zei hij </w:t>
      </w:r>
      <w:r w:rsidR="0083575A">
        <w:t xml:space="preserve">naar </w:t>
      </w:r>
      <w:r w:rsidRPr="007868C3">
        <w:t xml:space="preserve">meer </w:t>
      </w:r>
      <w:r w:rsidRPr="007868C3">
        <w:rPr>
          <w:i/>
          <w:iCs/>
        </w:rPr>
        <w:t>evidence</w:t>
      </w:r>
      <w:r>
        <w:rPr>
          <w:i/>
          <w:iCs/>
        </w:rPr>
        <w:t>-based</w:t>
      </w:r>
      <w:r>
        <w:t xml:space="preserve"> </w:t>
      </w:r>
      <w:r w:rsidR="00FD7B94">
        <w:t xml:space="preserve">onderwijs </w:t>
      </w:r>
      <w:r>
        <w:t xml:space="preserve">te </w:t>
      </w:r>
      <w:r w:rsidR="0083575A">
        <w:t>strev</w:t>
      </w:r>
      <w:r>
        <w:t>en. Daarmee wordt volgens ons het zoveelste paard achter de wagen gespannen</w:t>
      </w:r>
      <w:r w:rsidR="00FD62A1">
        <w:t xml:space="preserve"> en de crisis verdiept</w:t>
      </w:r>
      <w:r>
        <w:t xml:space="preserve">. </w:t>
      </w:r>
    </w:p>
    <w:p w14:paraId="2E5E67B6" w14:textId="0B214FC1" w:rsidR="00906A68" w:rsidRPr="00A47417" w:rsidRDefault="00000000">
      <w:pPr>
        <w:tabs>
          <w:tab w:val="left" w:pos="284"/>
        </w:tabs>
      </w:pPr>
      <w:r>
        <w:tab/>
        <w:t>We</w:t>
      </w:r>
      <w:r w:rsidR="0083575A">
        <w:t xml:space="preserve"> be</w:t>
      </w:r>
      <w:r>
        <w:t xml:space="preserve">twijfelen </w:t>
      </w:r>
      <w:r w:rsidR="0083575A">
        <w:t>A</w:t>
      </w:r>
      <w:r>
        <w:t>dat hij meende</w:t>
      </w:r>
      <w:r w:rsidR="00F43C16">
        <w:t xml:space="preserve"> wat hij zei</w:t>
      </w:r>
      <w:r>
        <w:t>. Als Kamerlid heeft hij</w:t>
      </w:r>
      <w:r w:rsidR="00A47417">
        <w:t xml:space="preserve"> menig</w:t>
      </w:r>
      <w:r>
        <w:t xml:space="preserve"> motie ingediend en ondersteund in de geest van </w:t>
      </w:r>
      <w:r w:rsidRPr="00A47417">
        <w:t xml:space="preserve">de psychologische ontwikkeling. </w:t>
      </w:r>
      <w:r w:rsidR="0083575A">
        <w:t>A</w:t>
      </w:r>
      <w:r w:rsidRPr="00A47417">
        <w:t xml:space="preserve">ls natuurkundige </w:t>
      </w:r>
      <w:r w:rsidR="0083575A">
        <w:t xml:space="preserve">houdt hij stellig </w:t>
      </w:r>
      <w:r w:rsidRPr="00A47417">
        <w:t xml:space="preserve">betekenisvolle en lege getallen uit elkaar. </w:t>
      </w:r>
    </w:p>
    <w:p w14:paraId="5511A334" w14:textId="59B32A42" w:rsidR="00A47417" w:rsidRPr="00A47417" w:rsidRDefault="00A47417" w:rsidP="00A47417">
      <w:pPr>
        <w:tabs>
          <w:tab w:val="left" w:pos="284"/>
        </w:tabs>
      </w:pPr>
      <w:r w:rsidRPr="00A47417">
        <w:tab/>
        <w:t>De oplossing ligt in het serieus nemen van de psychologische ontwikkeling. De WSK heeft een proefproject voorgesteld: Ontwikkelingvolgend en Voorwaardenscheppend Onderwijs (OVO). Daarin mogen 30-60 basisscholen lesgeven op basis van de psychologische ontwikkeling en zonder psychometrie. Een kind dat niet aan bepaalde stof toe is, krijgt onderwijs in de voorwaarden. Bijvoorbeeld, kinderen die niet leesrijp zijn (leesrijp gemiddeld rond 6,5 jaar), krijgen oefeningen in klankanalyse, zoals rijmen</w:t>
      </w:r>
      <w:r w:rsidR="00FD62A1">
        <w:t>,</w:t>
      </w:r>
      <w:r w:rsidRPr="00A47417">
        <w:t xml:space="preserve"> hakken van zinnen en woorde</w:t>
      </w:r>
      <w:r w:rsidR="00F43C16">
        <w:t xml:space="preserve">n, </w:t>
      </w:r>
      <w:r w:rsidR="00FD62A1">
        <w:t xml:space="preserve">opnoemen van woorden die met </w:t>
      </w:r>
      <w:r w:rsidRPr="00A47417">
        <w:t>de /p/-klank</w:t>
      </w:r>
      <w:r w:rsidR="00FD62A1">
        <w:t xml:space="preserve"> beginnen (</w:t>
      </w:r>
      <w:r w:rsidRPr="00A47417">
        <w:t xml:space="preserve">gemiddeld </w:t>
      </w:r>
      <w:r w:rsidR="00FD62A1">
        <w:t>vanaf</w:t>
      </w:r>
      <w:r w:rsidRPr="00A47417">
        <w:t xml:space="preserve"> 4,5 jaar</w:t>
      </w:r>
      <w:r w:rsidR="00FD62A1">
        <w:t>)</w:t>
      </w:r>
      <w:r w:rsidRPr="00A47417">
        <w:t>.</w:t>
      </w:r>
    </w:p>
    <w:p w14:paraId="4ECC6EE6" w14:textId="45AF753B" w:rsidR="00906A68" w:rsidRPr="00FD62A1" w:rsidRDefault="00000000">
      <w:pPr>
        <w:tabs>
          <w:tab w:val="left" w:pos="284"/>
        </w:tabs>
      </w:pPr>
      <w:r>
        <w:tab/>
        <w:t xml:space="preserve">Verwerkelijking van OVO kan </w:t>
      </w:r>
      <w:r w:rsidRPr="00FD62A1">
        <w:t xml:space="preserve">zonder wetswijziging en doet nauwelijks een beroep op de schatkist. </w:t>
      </w:r>
    </w:p>
    <w:p w14:paraId="610D0994" w14:textId="36112B33" w:rsidR="00F43C16" w:rsidRDefault="00000000">
      <w:pPr>
        <w:tabs>
          <w:tab w:val="left" w:pos="284"/>
        </w:tabs>
      </w:pPr>
      <w:r w:rsidRPr="00FD62A1">
        <w:t xml:space="preserve">Ondanks </w:t>
      </w:r>
      <w:r w:rsidR="00FD62A1">
        <w:t xml:space="preserve">drie </w:t>
      </w:r>
      <w:r w:rsidRPr="00FD62A1">
        <w:t xml:space="preserve">goede gesprekken met het Ministerie van OCW, </w:t>
      </w:r>
      <w:r w:rsidR="00F43C16">
        <w:t>wacht</w:t>
      </w:r>
      <w:r w:rsidRPr="00FD62A1">
        <w:t xml:space="preserve"> het </w:t>
      </w:r>
      <w:r w:rsidR="00F43C16">
        <w:t xml:space="preserve">op een motie waarin </w:t>
      </w:r>
      <w:r w:rsidRPr="00FD62A1">
        <w:t xml:space="preserve">de Kamer de regering laat weten dat zij </w:t>
      </w:r>
      <w:r w:rsidR="008078CD">
        <w:t>OVO</w:t>
      </w:r>
      <w:r w:rsidRPr="00FD62A1">
        <w:t xml:space="preserve"> interessant vind</w:t>
      </w:r>
      <w:r w:rsidR="00A47417" w:rsidRPr="00FD62A1">
        <w:t>t</w:t>
      </w:r>
      <w:r w:rsidRPr="00FD62A1">
        <w:t xml:space="preserve"> en wil laten starten.</w:t>
      </w:r>
    </w:p>
    <w:p w14:paraId="37ED5843" w14:textId="77777777" w:rsidR="00F43C16" w:rsidRDefault="00F43C16">
      <w:pPr>
        <w:tabs>
          <w:tab w:val="left" w:pos="284"/>
        </w:tabs>
      </w:pPr>
    </w:p>
    <w:p w14:paraId="5DD1D59B" w14:textId="036D04D6" w:rsidR="00906A68" w:rsidRPr="00FD62A1" w:rsidRDefault="00000000">
      <w:pPr>
        <w:tabs>
          <w:tab w:val="left" w:pos="284"/>
        </w:tabs>
      </w:pPr>
      <w:r w:rsidRPr="00FD62A1">
        <w:t xml:space="preserve">De </w:t>
      </w:r>
      <w:r w:rsidR="00F43C16">
        <w:t>aanhoud</w:t>
      </w:r>
      <w:r w:rsidRPr="00FD62A1">
        <w:t xml:space="preserve">ende </w:t>
      </w:r>
      <w:r w:rsidR="00FD62A1" w:rsidRPr="00FD62A1">
        <w:t>onderwijs</w:t>
      </w:r>
      <w:r w:rsidRPr="00FD62A1">
        <w:t>crisis toont volgens ons aan dat we voortmodderen op een dwaalweg van ontken</w:t>
      </w:r>
      <w:r w:rsidR="008078CD">
        <w:t>nen</w:t>
      </w:r>
      <w:r w:rsidRPr="00FD62A1">
        <w:t xml:space="preserve"> of neger</w:t>
      </w:r>
      <w:r w:rsidR="008078CD">
        <w:t>en van</w:t>
      </w:r>
      <w:r w:rsidRPr="00FD62A1">
        <w:t xml:space="preserve"> feiten</w:t>
      </w:r>
      <w:r w:rsidR="00FD62A1" w:rsidRPr="00FD62A1">
        <w:t xml:space="preserve"> en </w:t>
      </w:r>
      <w:r w:rsidR="00FD62A1">
        <w:t xml:space="preserve">van </w:t>
      </w:r>
      <w:r w:rsidR="008078CD">
        <w:t>aan</w:t>
      </w:r>
      <w:r w:rsidR="00FD62A1" w:rsidRPr="00FD62A1">
        <w:t>va</w:t>
      </w:r>
      <w:r w:rsidR="008078CD">
        <w:t>a</w:t>
      </w:r>
      <w:r w:rsidR="00FD62A1" w:rsidRPr="00FD62A1">
        <w:t>r</w:t>
      </w:r>
      <w:r w:rsidR="008078CD">
        <w:t>d</w:t>
      </w:r>
      <w:r w:rsidR="00FD62A1" w:rsidRPr="00FD62A1">
        <w:t xml:space="preserve">en </w:t>
      </w:r>
      <w:r w:rsidR="008078CD">
        <w:t>van</w:t>
      </w:r>
      <w:r w:rsidR="00FD62A1" w:rsidRPr="00FD62A1">
        <w:t xml:space="preserve"> </w:t>
      </w:r>
      <w:r w:rsidRPr="00FD62A1">
        <w:t xml:space="preserve">schijnfeiten. </w:t>
      </w:r>
    </w:p>
    <w:p w14:paraId="55FC7539" w14:textId="10E8165C" w:rsidR="00906A68" w:rsidRPr="00FD62A1" w:rsidRDefault="00FD62A1">
      <w:pPr>
        <w:tabs>
          <w:tab w:val="left" w:pos="284"/>
        </w:tabs>
      </w:pPr>
      <w:r w:rsidRPr="00FD62A1">
        <w:tab/>
        <w:t xml:space="preserve">Regering en Kamer, laat 30-60 basisscholen het op </w:t>
      </w:r>
      <w:r w:rsidR="00F43C16">
        <w:t>stevig</w:t>
      </w:r>
      <w:r w:rsidRPr="00FD62A1">
        <w:t>e grondslag anders doen. Da</w:t>
      </w:r>
      <w:r w:rsidR="008078CD">
        <w:t>n</w:t>
      </w:r>
      <w:r w:rsidRPr="00FD62A1">
        <w:t xml:space="preserve"> begin</w:t>
      </w:r>
      <w:r w:rsidR="008078CD">
        <w:t xml:space="preserve">nen we de onderwijscrisis </w:t>
      </w:r>
      <w:r w:rsidRPr="00FD62A1">
        <w:t>op</w:t>
      </w:r>
      <w:r w:rsidR="008078CD">
        <w:t xml:space="preserve"> te </w:t>
      </w:r>
      <w:r w:rsidRPr="00FD62A1">
        <w:t>lossen.</w:t>
      </w:r>
    </w:p>
    <w:p w14:paraId="5129E459" w14:textId="77777777" w:rsidR="00906A68" w:rsidRPr="00FD62A1" w:rsidRDefault="00906A68">
      <w:pPr>
        <w:tabs>
          <w:tab w:val="left" w:pos="284"/>
        </w:tabs>
      </w:pPr>
    </w:p>
    <w:p w14:paraId="4F29FF9A" w14:textId="77777777" w:rsidR="00906A68" w:rsidRDefault="00000000">
      <w:pPr>
        <w:tabs>
          <w:tab w:val="left" w:pos="284"/>
        </w:tabs>
        <w:rPr>
          <w:i/>
          <w:iCs/>
        </w:rPr>
      </w:pPr>
      <w:r w:rsidRPr="00FD62A1">
        <w:rPr>
          <w:i/>
          <w:iCs/>
        </w:rPr>
        <w:t xml:space="preserve">Lida Boonstra, Inge Verkouw (kleuterleerkrachten) en Ewald </w:t>
      </w:r>
      <w:r>
        <w:rPr>
          <w:i/>
          <w:iCs/>
        </w:rPr>
        <w:t>Vervaet (wis- en natuurkundige en psycholoog), allen van de kerngroep Werk- en Steungroep Kleuteronderwijs (WSK)</w:t>
      </w:r>
    </w:p>
    <w:sectPr w:rsidR="00906A68">
      <w:pgSz w:w="11906" w:h="16838"/>
      <w:pgMar w:top="907" w:right="1021" w:bottom="907" w:left="1021"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altName w:val="Arial"/>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grammar="clean"/>
  <w:defaultTabStop w:val="709"/>
  <w:autoHyphenation/>
  <w:hyphenationZone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6A68"/>
    <w:rsid w:val="0037532E"/>
    <w:rsid w:val="00602430"/>
    <w:rsid w:val="0072048B"/>
    <w:rsid w:val="00767DE3"/>
    <w:rsid w:val="007868C3"/>
    <w:rsid w:val="008078CD"/>
    <w:rsid w:val="0083575A"/>
    <w:rsid w:val="00906A68"/>
    <w:rsid w:val="00A47417"/>
    <w:rsid w:val="00B85FF0"/>
    <w:rsid w:val="00BB39D4"/>
    <w:rsid w:val="00F43C16"/>
    <w:rsid w:val="00FD62A1"/>
    <w:rsid w:val="00FD7B94"/>
  </w:rsids>
  <m:mathPr>
    <m:mathFont m:val="Cambria Math"/>
    <m:brkBin m:val="before"/>
    <m:brkBinSub m:val="--"/>
    <m:smallFrac m:val="0"/>
    <m:dispDef/>
    <m:lMargin m:val="0"/>
    <m:rMargin m:val="0"/>
    <m:defJc m:val="centerGroup"/>
    <m:wrapIndent m:val="1440"/>
    <m:intLim m:val="subSup"/>
    <m:naryLim m:val="undOvr"/>
  </m:mathPr>
  <w:themeFontLang w:val="nl-N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76C6D"/>
  <w15:docId w15:val="{3CD113F7-AC9B-40C5-AFC2-D879AE1306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6A73E6"/>
    <w:rPr>
      <w:rFonts w:ascii="Times New Roman" w:eastAsia="Calibri" w:hAnsi="Times New Roman"/>
      <w:kern w:val="0"/>
      <w:sz w:val="20"/>
      <w14:ligatures w14:val="non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463CB"/>
    <w:rPr>
      <w:color w:val="0563C1" w:themeColor="hyperlink"/>
      <w:u w:val="single"/>
    </w:rPr>
  </w:style>
  <w:style w:type="character" w:styleId="Onopgelostemelding">
    <w:name w:val="Unresolved Mention"/>
    <w:basedOn w:val="Standaardalinea-lettertype"/>
    <w:uiPriority w:val="99"/>
    <w:semiHidden/>
    <w:unhideWhenUsed/>
    <w:qFormat/>
    <w:rsid w:val="00F463CB"/>
    <w:rPr>
      <w:color w:val="605E5C"/>
      <w:shd w:val="clear" w:color="auto" w:fill="E1DFDD"/>
    </w:rPr>
  </w:style>
  <w:style w:type="character" w:styleId="GevolgdeHyperlink">
    <w:name w:val="FollowedHyperlink"/>
    <w:basedOn w:val="Standaardalinea-lettertype"/>
    <w:uiPriority w:val="99"/>
    <w:semiHidden/>
    <w:unhideWhenUsed/>
    <w:rsid w:val="00B67A5F"/>
    <w:rPr>
      <w:color w:val="954F72" w:themeColor="followedHyperlink"/>
      <w:u w:val="single"/>
    </w:rPr>
  </w:style>
  <w:style w:type="paragraph" w:customStyle="1" w:styleId="Heading">
    <w:name w:val="Heading"/>
    <w:basedOn w:val="Standaard"/>
    <w:next w:val="Plattetekst"/>
    <w:qFormat/>
    <w:pPr>
      <w:keepNext/>
      <w:spacing w:before="240" w:after="120"/>
    </w:pPr>
    <w:rPr>
      <w:rFonts w:ascii="Liberation Sans" w:eastAsia="Arial Unicode MS" w:hAnsi="Liberation Sans" w:cs="Arial Unicode MS"/>
      <w:sz w:val="28"/>
      <w:szCs w:val="28"/>
    </w:rPr>
  </w:style>
  <w:style w:type="paragraph" w:styleId="Plattetekst">
    <w:name w:val="Body Text"/>
    <w:basedOn w:val="Standaard"/>
    <w:pPr>
      <w:spacing w:after="140" w:line="276" w:lineRule="auto"/>
    </w:pPr>
  </w:style>
  <w:style w:type="paragraph" w:styleId="Lijst">
    <w:name w:val="List"/>
    <w:basedOn w:val="Plattetekst"/>
    <w:rPr>
      <w:rFonts w:cs="Arial Unicode MS"/>
    </w:rPr>
  </w:style>
  <w:style w:type="paragraph" w:styleId="Bijschrift">
    <w:name w:val="caption"/>
    <w:basedOn w:val="Standaard"/>
    <w:qFormat/>
    <w:pPr>
      <w:suppressLineNumbers/>
      <w:spacing w:before="120" w:after="120"/>
    </w:pPr>
    <w:rPr>
      <w:rFonts w:cs="Arial Unicode MS"/>
      <w:i/>
      <w:iCs/>
      <w:sz w:val="24"/>
      <w:szCs w:val="24"/>
    </w:rPr>
  </w:style>
  <w:style w:type="paragraph" w:customStyle="1" w:styleId="Index">
    <w:name w:val="Index"/>
    <w:basedOn w:val="Standaard"/>
    <w:qFormat/>
    <w:pPr>
      <w:suppressLineNumbers/>
    </w:pPr>
    <w:rPr>
      <w:rFonts w:cs="Arial Unicode MS"/>
    </w:rPr>
  </w:style>
  <w:style w:type="paragraph" w:styleId="Lijstalinea">
    <w:name w:val="List Paragraph"/>
    <w:basedOn w:val="Standaard"/>
    <w:uiPriority w:val="34"/>
    <w:qFormat/>
    <w:rsid w:val="0043514C"/>
    <w:pPr>
      <w:ind w:left="720"/>
      <w:contextualSpacing/>
    </w:pPr>
  </w:style>
  <w:style w:type="paragraph" w:styleId="Normaalweb">
    <w:name w:val="Normal (Web)"/>
    <w:basedOn w:val="Standaard"/>
    <w:uiPriority w:val="99"/>
    <w:semiHidden/>
    <w:unhideWhenUsed/>
    <w:qFormat/>
    <w:rsid w:val="003D385E"/>
    <w:pPr>
      <w:spacing w:beforeAutospacing="1" w:afterAutospacing="1"/>
    </w:pPr>
    <w:rPr>
      <w:rFonts w:eastAsia="Times New Roman" w:cs="Times New Roman"/>
      <w:sz w:val="24"/>
      <w:szCs w:val="24"/>
      <w:lang w:eastAsia="nl-NL"/>
    </w:rPr>
  </w:style>
  <w:style w:type="paragraph" w:customStyle="1" w:styleId="Hoofdtekst">
    <w:name w:val="Hoofdtekst"/>
    <w:qFormat/>
    <w:rsid w:val="004D7B09"/>
    <w:pPr>
      <w:spacing w:after="200" w:line="276" w:lineRule="auto"/>
    </w:pPr>
    <w:rPr>
      <w:rFonts w:ascii="Cambria" w:eastAsia="Arial Unicode MS" w:hAnsi="Cambria" w:cs="Arial Unicode MS"/>
      <w:color w:val="000000"/>
      <w:kern w:val="0"/>
      <w:u w:color="000000"/>
      <w:lang w:eastAsia="zh-CN" w:bidi="hi-IN"/>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hyperlink" Target="https://www.onderwijsinspectie.nl/documenten/rapporten/2023/03/06/monitor-leskwaliteit" TargetMode="External"/><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Kantoorth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964</Words>
  <Characters>5302</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Ewald Vervaet</dc:creator>
  <dc:description/>
  <cp:lastModifiedBy>Ewald Vervaet</cp:lastModifiedBy>
  <cp:revision>2</cp:revision>
  <dcterms:created xsi:type="dcterms:W3CDTF">2025-01-28T08:54:00Z</dcterms:created>
  <dcterms:modified xsi:type="dcterms:W3CDTF">2025-01-28T08:54:00Z</dcterms:modified>
  <dc:language>nl-NL</dc:language>
</cp:coreProperties>
</file>